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Claude Andre Remy Barneron</w:t>
      </w:r>
    </w:p>
    <w:p>
      <w:pPr>
        <w:spacing w:line="240" w:lineRule="auto" w:before="0" w:after="0"/>
        <w:jc w:val="right"/>
      </w:pPr>
      <w:r>
        <w:t>BARNERON EXPERTISES SELARL</w:t>
      </w:r>
    </w:p>
    <w:p>
      <w:pPr>
        <w:spacing w:line="240" w:lineRule="auto" w:before="0" w:after="0"/>
        <w:jc w:val="right"/>
      </w:pPr>
      <w:r>
        <w:t>23 chemin des Berges</w:t>
      </w:r>
    </w:p>
    <w:p>
      <w:pPr>
        <w:spacing w:line="240" w:lineRule="auto" w:before="0" w:after="0"/>
        <w:jc w:val="right"/>
      </w:pPr>
      <w:r>
        <w:t>26100 ROMANS SUR ISERE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Barneron,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de référence.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copropriété ou d’aménagement durable.</w:t>
      </w:r>
    </w:p>
    <w:p>
      <w:pPr>
        <w:spacing w:line="276" w:lineRule="auto" w:before="0" w:after="160"/>
        <w:jc w:val="both"/>
      </w:pPr>
      <w:r>
        <w:t>BARNERON EXPERTISES SELARL se distingue par une présence ancrée sur le territoire depuis 1988. Cette longévité témoigne d'une maîtrise solide des enjeux fonciers locaux et d'une expertise éprouvée auprès d'une clientèle diversifiée. La dimension de votre structure, forte de ses vingt à quarante-neuf salariés, permet d'envisager une diversité de projets d'envergure tout en conservant une organisation structurée. Ce cabinet combine ainsi une expérience historique avec une capacité opérationnelle significative pour répondre à des problématiques techniques et juridiques variées.</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sera un atout pour traiter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tout en m'intégrant pleinement à votre équipe pour monter en compétence sur les spécificités du droit foncier.</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Barneron,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