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Lacour</w:t>
      </w:r>
    </w:p>
    <w:p>
      <w:pPr>
        <w:spacing w:line="240" w:lineRule="auto" w:before="0" w:after="0"/>
        <w:jc w:val="right"/>
      </w:pPr>
      <w:r>
        <w:t>GéoVallées SELAS de Géomètres-Experts</w:t>
      </w:r>
    </w:p>
    <w:p>
      <w:pPr>
        <w:spacing w:line="240" w:lineRule="auto" w:before="0" w:after="0"/>
        <w:jc w:val="right"/>
      </w:pPr>
      <w:r>
        <w:t>85 Rue de Sétérée Zone Artisanale de Cocause</w:t>
      </w:r>
    </w:p>
    <w:p>
      <w:pPr>
        <w:spacing w:line="240" w:lineRule="auto" w:before="0" w:after="0"/>
        <w:jc w:val="right"/>
      </w:pPr>
      <w:r>
        <w:t>26150 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Lacour,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instructif au sein du cabinet de Monsieur Pascal Vailles à Muret (31), je dépose aujourd'hui ma candidature pour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en SELAS depuis 2010, témoigne d'une assise solide. Cette structure permet de conjuguer expertise technique et approche de proximité, essentielle pour répondre aux enjeux fonciers locaux. Votre implantation à Die suggère une organisation où la transmission des savoirs et la rigueur opérationnelle sont au cœur de la réussite des projets.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Mon objectif est de mettre cette force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Lacour,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