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Marie Patrice Cassassolles</w:t>
      </w:r>
    </w:p>
    <w:p>
      <w:pPr>
        <w:spacing w:line="240" w:lineRule="auto" w:before="0" w:after="0"/>
        <w:jc w:val="right"/>
      </w:pPr>
      <w:r>
        <w:t>CABINET CASSASSOLLES SELARL</w:t>
      </w:r>
    </w:p>
    <w:p>
      <w:pPr>
        <w:spacing w:line="240" w:lineRule="auto" w:before="0" w:after="0"/>
        <w:jc w:val="right"/>
      </w:pPr>
      <w:r>
        <w:t>1305 Chemin de Savoyan</w:t>
      </w:r>
    </w:p>
    <w:p>
      <w:pPr>
        <w:spacing w:line="240" w:lineRule="auto" w:before="0" w:after="0"/>
        <w:jc w:val="right"/>
      </w:pPr>
      <w:r>
        <w:t>38540 HEYRIEUX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Cassassolles,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CASSASSOLLES se distingue par une approche de proximité et une dimension humaine affirmée, caractéristique d'une structure familiale à taille humaine. En tant qu'acteur ancré sur le territoire, il privilégie une relation de confiance durable avec une clientèle variée, allant des particuliers aux collectivités, en passant par les entreprises et les associations. Cette volonté d'accompagner et de conseiller ses clients dans des projets diversifiés, tout en assurant une continuité de service historique depuis la succession du cabinet RAY en 2007, témoigne d'un engagement constant pour la qualité et la transmission du savoir-faire au sein d'une équipe stable.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contribution analytique structurée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Cassassolles,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