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Andre Paul Lanoy</w:t>
      </w:r>
    </w:p>
    <w:p>
      <w:pPr>
        <w:spacing w:line="240" w:lineRule="auto" w:before="0" w:after="0"/>
        <w:jc w:val="right"/>
      </w:pPr>
      <w:r>
        <w:t>SARL POLYGONE GEOMETRE-EXPERT</w:t>
      </w:r>
    </w:p>
    <w:p>
      <w:pPr>
        <w:spacing w:line="240" w:lineRule="auto" w:before="0" w:after="0"/>
        <w:jc w:val="right"/>
      </w:pPr>
      <w:r>
        <w:t>650 B Zone Industrielle la Gloriette</w:t>
      </w:r>
    </w:p>
    <w:p>
      <w:pPr>
        <w:spacing w:line="240" w:lineRule="auto" w:before="0" w:after="0"/>
        <w:jc w:val="right"/>
      </w:pPr>
      <w:r>
        <w:t>38160 CHATTE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Lanoy,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forte présence territoriale en Isère, répartie sur trois sites, et une continuité historique remarquable, notamment à travers la conservation des archives foncières depuis 1983. Cette maîtrise du patrimoine foncier, alliée à une offre de services diversifiée — allant de la topographie classique à la numérisation 3D, en passant par la bathymétrie et les études de VRD — témoigne d'une expertise complète. Votre approche, centrée sur la proximité et l'écoute des clients au sein d'une structure à taille humaine, reflète un engagement de conseil et de dynamisme.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