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Jean-Yves Bourguignon</w:t>
      </w:r>
    </w:p>
    <w:p>
      <w:pPr>
        <w:spacing w:line="240" w:lineRule="auto" w:before="0" w:after="0"/>
        <w:jc w:val="right"/>
      </w:pPr>
      <w:r>
        <w:t>SASU BOURGUIGNON EXPERTISES</w:t>
      </w:r>
    </w:p>
    <w:p>
      <w:pPr>
        <w:spacing w:line="240" w:lineRule="auto" w:before="0" w:after="0"/>
        <w:jc w:val="right"/>
      </w:pPr>
      <w:r>
        <w:t>171 le Rival</w:t>
      </w:r>
    </w:p>
    <w:p>
      <w:pPr>
        <w:spacing w:line="240" w:lineRule="auto" w:before="0" w:after="0"/>
        <w:jc w:val="right"/>
      </w:pPr>
      <w:r>
        <w:t>38200 CHUZELLES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Bourguignon,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La structure que vous dirigez, SASU BOURGUIGNON EXPERTISES, incarne une approche de la profession axée sur la maîtrise du cœur du métier. Votre pratique témoigne d'une volonté de proximité et d'une qualité de conseil essentielle à la sécurisation foncière. Cette dimension de conseil de proximité, alliée à une expertise technique pointue, constitue un environnement de travail exigeant et structurant, propice à une montée en compétences rigoureuse.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quotidiennes, tout en m'appuyant sur ma méthode de chercheur pour assimiler rapidement le cadre réglementaire et les spécificités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Bourguignon,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