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Chrystel Aude Guillere (Vial)</w:t>
      </w:r>
    </w:p>
    <w:p>
      <w:pPr>
        <w:spacing w:line="240" w:lineRule="auto" w:before="0" w:after="0"/>
        <w:jc w:val="right"/>
      </w:pPr>
      <w:r>
        <w:t>SASU G-HOME EXPERT</w:t>
      </w:r>
    </w:p>
    <w:p>
      <w:pPr>
        <w:spacing w:line="240" w:lineRule="auto" w:before="0" w:after="0"/>
        <w:jc w:val="right"/>
      </w:pPr>
      <w:r>
        <w:t>209 rue des Sources</w:t>
      </w:r>
    </w:p>
    <w:p>
      <w:pPr>
        <w:spacing w:line="240" w:lineRule="auto" w:before="0" w:after="0"/>
        <w:jc w:val="right"/>
      </w:pPr>
      <w:r>
        <w:t>38920 CROLLES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Guillere,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pour m'investir au sein d'un cabinet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Cette double compétence, mêlant précision géométrique et analyse du droit foncier, est au cœur de mon projet professionnel.</w:t>
      </w:r>
    </w:p>
    <w:p>
      <w:pPr>
        <w:spacing w:line="276" w:lineRule="auto" w:before="0" w:after="160"/>
        <w:jc w:val="both"/>
      </w:pPr>
      <w:r>
        <w:t>Le cabinet G-HOME EXPERT se distingue par sa structure à taille humaine, permettant une organisation de travail agile et une proximité réelle avec les clients. L'implantation sur deux sites témoigne d'un ancrage territorial solide. Cette dynamique de croissance, initiée en 2021, alliée à une équipe de taille intermédiaire, offre un cadre de travail propice à une approche rigoureuse des problématiques foncières locales. L'équilibre entre réactivité et solidité d'un réseau de proximité constitue un environnement de travail particulièrement structurant.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d'apporter une approche méthodique et structurée.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Guillere,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