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Chalmet</w:t>
      </w:r>
    </w:p>
    <w:p>
      <w:pPr>
        <w:spacing w:line="240" w:lineRule="auto" w:before="0" w:after="0"/>
        <w:jc w:val="right"/>
      </w:pPr>
      <w:r>
        <w:t>Cabinet ADAGE</w:t>
      </w:r>
    </w:p>
    <w:p>
      <w:pPr>
        <w:spacing w:line="240" w:lineRule="auto" w:before="0" w:after="0"/>
        <w:jc w:val="right"/>
      </w:pPr>
      <w:r>
        <w:t>46 rue Dorian</w:t>
      </w:r>
    </w:p>
    <w:p>
      <w:pPr>
        <w:spacing w:line="240" w:lineRule="auto" w:before="0" w:after="0"/>
        <w:jc w:val="right"/>
      </w:pPr>
      <w:r>
        <w:t>42190 CHARLIEU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Chalmet,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de référence.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ADAGE se distingue par une envergure territoriale remarquable, déployant ses activités sur neuf agences à travers trois régions. Cette présence multi-sites, couplée à une organisation structurée en brigades pour les interventions de terrain, témoigne d'une forte capacité opérationnelle. Votre expertise, ancrée dans le traitement de milliers de documents d’arpentage et la résolution de cas particuliers complexes, souligne une maîtrise pointue des circonscriptions foncières et des services cadastraux. Par ailleurs, votre engagement pour le développement durable et votre rôle d'interlocuteur privilégié auprès des services publics illustrent une vision globale et responsable de la gestion foncière.</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Chalmet,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