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Perey</w:t>
      </w:r>
    </w:p>
    <w:p>
      <w:pPr>
        <w:spacing w:line="240" w:lineRule="auto" w:before="0" w:after="0"/>
        <w:jc w:val="right"/>
      </w:pPr>
      <w:r>
        <w:t>SASU JEROME PEREY GEOMETRE-EXPERT</w:t>
      </w:r>
    </w:p>
    <w:p>
      <w:pPr>
        <w:spacing w:line="240" w:lineRule="auto" w:before="0" w:after="0"/>
        <w:jc w:val="right"/>
      </w:pPr>
      <w:r>
        <w:t>7 rue Germaine de Staël</w:t>
      </w:r>
    </w:p>
    <w:p>
      <w:pPr>
        <w:spacing w:line="240" w:lineRule="auto" w:before="0" w:after="0"/>
        <w:jc w:val="right"/>
      </w:pPr>
      <w:r>
        <w:t>42153 RIORGES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établi à Riorges depuis 2009, reflète une expertise solide et une présence pérenne au service d'une clientèle de proximité. Cette structure à taille humaine offre un cadre propice à une transmission des savoirs rigoureuse et à une maîtrise approfondie du cœur de métier. La qualité de service que permet une telle organisation, où la précision technique des interventions s'appuie sur une connaissance fine des enjeux fonciers locaux, constitue un environnement de travail structurant et professionnel.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