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Laurent Raynal</w:t>
      </w:r>
    </w:p>
    <w:p>
      <w:pPr>
        <w:spacing w:line="240" w:lineRule="auto" w:before="0" w:after="0"/>
        <w:jc w:val="right"/>
      </w:pPr>
      <w:r>
        <w:t>SAS CABINET BISIO ET ASSOCIES</w:t>
      </w:r>
    </w:p>
    <w:p>
      <w:pPr>
        <w:spacing w:line="240" w:lineRule="auto" w:before="0" w:after="0"/>
        <w:jc w:val="right"/>
      </w:pPr>
      <w:r>
        <w:t>33 avenue de l'Europe</w:t>
      </w:r>
    </w:p>
    <w:p>
      <w:pPr>
        <w:spacing w:line="240" w:lineRule="auto" w:before="0" w:after="0"/>
        <w:jc w:val="right"/>
      </w:pPr>
      <w:r>
        <w:t>63110 BEAUMONT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Raynal,</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reconnue pour son expertise.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solide expérience historique, ancrée depuis l'après-guerre, qui témoigne d'une expertise reconnue et d'une stabilité institutionnelle. Votre positionnement en tant que garant d’un cadre de vie durable souligne une volonté de sécuriser durablement les projets tout en valorisant le patrimoine foncier. Cette approche, qui concilie conseil stratégique, rigueur technique et dimension humaine au sein d'une structure à taille humaine, reflète une vision complète et responsable de la profession.</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Raynal,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