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Paul-Antoine Christophe Jacquemet</w:t>
      </w:r>
    </w:p>
    <w:p>
      <w:pPr>
        <w:spacing w:line="240" w:lineRule="auto" w:before="0" w:after="0"/>
        <w:jc w:val="right"/>
      </w:pPr>
      <w:r>
        <w:t>Cabinet JACQUEMET SELARL</w:t>
      </w:r>
    </w:p>
    <w:p>
      <w:pPr>
        <w:spacing w:line="240" w:lineRule="auto" w:before="0" w:after="0"/>
        <w:jc w:val="right"/>
      </w:pPr>
      <w:r>
        <w:t>3, rue des Marronniers</w:t>
      </w:r>
    </w:p>
    <w:p>
      <w:pPr>
        <w:spacing w:line="240" w:lineRule="auto" w:before="0" w:after="0"/>
        <w:jc w:val="right"/>
      </w:pPr>
      <w:r>
        <w:t>69280 STE CONSORCE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Jacquemet,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 Cette double exigence, alliant précision géométrique et analyse du droit foncier, constitue pour moi le cœur de la profession.</w:t>
      </w:r>
    </w:p>
    <w:p>
      <w:pPr>
        <w:spacing w:line="276" w:lineRule="auto" w:before="0" w:after="160"/>
        <w:jc w:val="both"/>
      </w:pPr>
      <w:r>
        <w:t>Le Cabinet JACQUEMET SELARL se distingue par une structure à taille humaine, permettant une approche de proximité avec les clients et une maîtrise rigoureuse du cœur de métier. Cette organisation favorise un accompagnement personnalisé et une expertise technique solide, essentielles pour garantir la sécurité foncière des projets locaux. Votre présence établie sur le territoire témoigne d'un engagement constant envers la qualité des prestations et une connaissance fine des enjeux territoriaux, garantissant une approche pragmatique et fiable des problématiques de bornage, de division ou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où ma capacité de synthèse pourra soutenir vos dossiers les plus complexes.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Jacquemet,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