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Andre Brocas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Brocas,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parcellaire ou d’aménagement durable.</w:t>
      </w:r>
    </w:p>
    <w:p>
      <w:pPr>
        <w:spacing w:line="276" w:lineRule="auto" w:before="0" w:after="160"/>
        <w:jc w:val="both"/>
      </w:pPr>
      <w:r>
        <w:t>Votre cabinet, implanté à Vaulx-en-Velin et à Champagne au Mont d'Or, témoigne d'une présence solide sur le territoire rhônais depuis 1990. Cette double implantation géographique suggère une maîtrise approfondie de contextes variés, allant de l'environnement urbain dense aux zones de développement périurbain. Votre capacité à accompagner des projets diversifiés au sein de ces différents pôles constitue un cadre de référence pour exercer une profession exigeante de précision et de conseil technique.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bornage,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précis.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Brocas,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