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Georges Pigeon</w:t>
      </w:r>
    </w:p>
    <w:p>
      <w:pPr>
        <w:spacing w:line="240" w:lineRule="auto" w:before="0" w:after="0"/>
        <w:jc w:val="right"/>
      </w:pPr>
      <w:r>
        <w:t>SELARL GEOGARANTS</w:t>
      </w:r>
    </w:p>
    <w:p>
      <w:pPr>
        <w:spacing w:line="240" w:lineRule="auto" w:before="0" w:after="0"/>
        <w:jc w:val="right"/>
      </w:pPr>
      <w:r>
        <w:t>40 Rue Cour Denis</w:t>
      </w:r>
    </w:p>
    <w:p>
      <w:pPr>
        <w:spacing w:line="240" w:lineRule="auto" w:before="0" w:after="0"/>
        <w:jc w:val="right"/>
      </w:pPr>
      <w:r>
        <w:t>69930 ST LAURENT DE CHAMOUSSET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2024, s'inscrit dans une dynamique de développement actuelle et promet un environnement de travail structuré pour une pratique rigoureuse du cœur de métier. En tant que structure en pleine expansion, la SELARL GEOGARANTS offre un cadre propice à une collaboration durable. Votre implantation à Saint-Laurent-de-Chamousset témoigne d'un ancrage territorial précis, essentiel pour assurer une expertise de proximité et une maîtrise fine des problématiques foncières locales, tout en garantissant un accompagnement de qualité et une réactivité face aux besoins des usagers.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Pigeon,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