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Sébastien Michel Bosetti</w:t>
      </w:r>
    </w:p>
    <w:p>
      <w:pPr>
        <w:spacing w:line="240" w:lineRule="auto" w:before="0" w:after="0"/>
        <w:jc w:val="right"/>
      </w:pPr>
      <w:r>
        <w:t>TERRA URBA GEOMETRES EXPERTS SELAS</w:t>
      </w:r>
    </w:p>
    <w:p>
      <w:pPr>
        <w:spacing w:line="240" w:lineRule="auto" w:before="0" w:after="0"/>
        <w:jc w:val="right"/>
      </w:pPr>
      <w:r>
        <w:t>230 Chemin du Petit Paris</w:t>
      </w:r>
    </w:p>
    <w:p>
      <w:pPr>
        <w:spacing w:line="240" w:lineRule="auto" w:before="0" w:after="0"/>
        <w:jc w:val="right"/>
      </w:pPr>
      <w:r>
        <w:t>69760 LIMONEST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Bosetti,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w:t>
      </w:r>
    </w:p>
    <w:p>
      <w:pPr>
        <w:spacing w:line="276" w:lineRule="auto" w:before="0" w:after="160"/>
        <w:jc w:val="both"/>
      </w:pPr>
      <w:r>
        <w:t>Votre cabinet se distingue par un ancrage historique remarquable depuis 1924, alliant une maîtrise éprouvée du cœur de métier à une vision résolument tournée vers les enjeux de demain. Votre approche, qui refuse toute approximation pour concevoir des cadres de vie durables et connectés, témoigne d'une exigence de précision constante. Par ailleurs, votre capacité à intervenir sur des projets variés, tant en milieu urbain que rural, ainsi que votre engagement pour la valorisation des territoires par une expertise technique de qualité — qu'il s'agisse de relevés 2D/3D ou de délimitation foncière — constituent un environnement de travail particulièrement stimulant.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Bosetti,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