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Yannick Georges et Andre Chretien</w:t>
      </w:r>
    </w:p>
    <w:p>
      <w:pPr>
        <w:spacing w:line="240" w:lineRule="auto" w:before="0" w:after="0"/>
        <w:jc w:val="right"/>
      </w:pPr>
      <w:r>
        <w:t>SELARL Cabinet GE-ARC</w:t>
      </w:r>
    </w:p>
    <w:p>
      <w:pPr>
        <w:spacing w:line="240" w:lineRule="auto" w:before="0" w:after="0"/>
        <w:jc w:val="right"/>
      </w:pPr>
      <w:r>
        <w:t>14 avenue de la République</w:t>
      </w:r>
    </w:p>
    <w:p>
      <w:pPr>
        <w:spacing w:line="240" w:lineRule="auto" w:before="0" w:after="0"/>
        <w:jc w:val="right"/>
      </w:pPr>
      <w:r>
        <w:t>73140 ST MICHEL DE MAURIENNE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GE-ARC se distingue par son implantation stratégique sur plusieurs sites, notamment à St Michel de Maurienne, Modane et Montmélian. Cette présence multi-agences permet d'intervenir sur des territoires variés et des contextes géographiques diversifiés, offrant une vision large des enjeux fonciers de la région. Une structure établie depuis 1997, forte de son expérience, assure une maîtrise des problématiques locales et une connaissance approfondie des spécificités territoriales propres à ces zones d'intervention, garantissant une qualité de service ancrée dans la réalité du terrain et la pérennité des projets.</w:t>
      </w:r>
    </w:p>
    <w:p>
      <w:pPr>
        <w:spacing w:line="276" w:lineRule="auto" w:before="0" w:after="160"/>
        <w:jc w:val="both"/>
      </w:pPr>
      <w:r>
        <w:t>Mon parcours d'universitaire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la précision du relevé rencontre la complexité de la norme juridique et des enjeux de propriété.</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m'adaptant aux méthodes de travail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