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Rachel Vuaillat</w:t>
      </w:r>
    </w:p>
    <w:p>
      <w:pPr>
        <w:spacing w:line="240" w:lineRule="auto" w:before="0" w:after="0"/>
        <w:jc w:val="right"/>
      </w:pPr>
      <w:r>
        <w:t>Anne VUAILLAT-GEOMETRE-EXPERT EURL</w:t>
      </w:r>
    </w:p>
    <w:p>
      <w:pPr>
        <w:spacing w:line="240" w:lineRule="auto" w:before="0" w:after="0"/>
        <w:jc w:val="right"/>
      </w:pPr>
      <w:r>
        <w:t>685, rue du Grand-Pont</w:t>
      </w:r>
    </w:p>
    <w:p>
      <w:pPr>
        <w:spacing w:line="240" w:lineRule="auto" w:before="0" w:after="0"/>
        <w:jc w:val="right"/>
      </w:pPr>
      <w:r>
        <w:t>74270 FRANGY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Vuaillat,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en EURL depuis 2012, témoigne d'une pratique établie et d'une maîtrise du cœur de métier. Cette structure permet une approche de proximité et une gestion de la qualité rigoureuse, essentielles pour assurer la sécurité foncière des clients. Vous portez une expertise où la technicité répond précisément aux réalités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Vuaillat,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