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ARAVIS GEO SELARL</w:t>
      </w:r>
    </w:p>
    <w:p>
      <w:pPr>
        <w:spacing w:line="240" w:lineRule="auto" w:before="0" w:after="0"/>
        <w:jc w:val="right"/>
      </w:pPr>
      <w:r>
        <w:t>22 Avenue d'Annecy Résidence les deux Torrents, 74230 THONES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pour contribuer à la qualité de vos prestations.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d'aménagement, qu’il s’agisse de bornage, de division ou d’aménagement durable.</w:t>
      </w:r>
    </w:p>
    <w:p>
      <w:pPr>
        <w:spacing w:line="276" w:lineRule="auto" w:before="0" w:after="160"/>
        <w:jc w:val="both"/>
      </w:pPr>
      <w:r>
        <w:t>Votre cabinet se distingue par sa présence sur deux sites stratégiques, à Thones et Annecy, témoignant d'une capacité à intervenir sur des territoires variés. Cette double implantation suggère une expertise capable de s'adapter aussi bien aux enjeux des zones rurales qu'aux contraintes des secteurs urbains, offrant ainsi une diversité de contextes d'intervention et de problématiques foncières. Cette polyvalence géographique et technique constitue un cadre de travail particulièrement stimulant pour un futur collaborateur souhaitant appréhender la diversité des missions du métier.</w:t>
      </w:r>
    </w:p>
    <w:p>
      <w:pPr>
        <w:spacing w:line="276" w:lineRule="auto" w:before="0" w:after="160"/>
        <w:jc w:val="both"/>
      </w:pPr>
      <w:r>
        <w:t>Mon parcours m'a doté d'une forte culture de la donnée spatiale (topographie, modélisation) et d'une solide capacité d'analyse face aux problématiques complexes du territoire.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m'efforçant d'intégrer avec rigueur les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