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Aurelien Dagron</w:t>
      </w:r>
    </w:p>
    <w:p>
      <w:pPr>
        <w:spacing w:line="240" w:lineRule="auto" w:before="0" w:after="0"/>
        <w:jc w:val="right"/>
      </w:pPr>
      <w:r>
        <w:t>DAGRON DELAVOET SARL</w:t>
      </w:r>
    </w:p>
    <w:p>
      <w:pPr>
        <w:spacing w:line="240" w:lineRule="auto" w:before="0" w:after="0"/>
        <w:jc w:val="right"/>
      </w:pPr>
      <w:r>
        <w:t>249 Grande Rue</w:t>
      </w:r>
    </w:p>
    <w:p>
      <w:pPr>
        <w:spacing w:line="240" w:lineRule="auto" w:before="0" w:after="0"/>
        <w:jc w:val="right"/>
      </w:pPr>
      <w:r>
        <w:t>74930 REIGNIER ESERY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Dagron,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2022, se distingue par une structure à taille humaine qui allie dynamisme de croissance et maîtrise du cœur de métier. Votre implantation à Reignier Esery témoigne d'un ancrage territorial fort, permettant une approche de proximité tout en assurant une gestion rigoureuse des opérations foncières. Ce cadre, où l'agilité d'une structure récente rencontre l'exigence technique du métier, constitue un environnement particulièrement adapté pour une collaboration sérieuse et structurée.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Dagron,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