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BACCI</w:t>
      </w:r>
    </w:p>
    <w:p>
      <w:pPr>
        <w:spacing w:line="240" w:lineRule="auto" w:before="0" w:after="0"/>
        <w:jc w:val="right"/>
      </w:pPr>
      <w:r>
        <w:t>16 avenue de la République</w:t>
      </w:r>
    </w:p>
    <w:p>
      <w:pPr>
        <w:spacing w:line="240" w:lineRule="auto" w:before="0" w:after="0"/>
        <w:jc w:val="right"/>
      </w:pPr>
      <w:r>
        <w:t>74960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 pour contribuer à vos projets.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Annecy, se distingue par une pratique ancrée dans le cœur de métier du géomètre-expert, privilégiant une expertise technique solide et une connaissance approfondie du territoire. Cette maîtrise opérationnelle, alliée à une présence locale établie, témoigne d'un engagement constant envers la qualité des prestations et la pérennité des relations avec vos clients. Je recherche une structure de cette envergure, capable d'offrir un environnement professionnel structuré, où la technicité est mise au service d'une approche de proximité et de précision.</w:t>
      </w:r>
    </w:p>
    <w:p>
      <w:pPr>
        <w:spacing w:line="276" w:lineRule="auto" w:before="0" w:after="160"/>
        <w:jc w:val="both"/>
      </w:pPr>
      <w:r>
        <w:t>Mon parcours universitaire en archéologie et urbanisme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