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Jean-Marie BONNAZ</w:t>
      </w:r>
    </w:p>
    <w:p>
      <w:pPr>
        <w:spacing w:line="240" w:lineRule="auto" w:before="0" w:after="0"/>
        <w:jc w:val="right"/>
      </w:pPr>
      <w:r>
        <w:t>SARL TOPOALP</w:t>
      </w:r>
    </w:p>
    <w:p>
      <w:pPr>
        <w:spacing w:line="240" w:lineRule="auto" w:before="0" w:after="0"/>
        <w:jc w:val="right"/>
      </w:pPr>
      <w:r>
        <w:t>244 avenue des Marais PAE de la Caille</w:t>
      </w:r>
    </w:p>
    <w:p>
      <w:pPr>
        <w:spacing w:line="240" w:lineRule="auto" w:before="0" w:after="0"/>
        <w:jc w:val="right"/>
      </w:pPr>
      <w:r>
        <w:t>74350 ALLONZIER LA CAILLE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Bonnaz,</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TOPOALP se distingue par une implantation ancrée dans les territoires de Seyssel et d'Allonzier la Caille. En tant que structure à taille humaine, votre cabinet privilégie une approche de proximité et une maîtrise du cœur de métier. Cette présence établie depuis 2012 garantit une expertise solide et une connaissance fine des enjeux fonciers locaux, offrant un cadre d'apprentissage privilégié pour appréhender la diversité des problématiques territoriales.</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Bonnaz,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