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Borrel</w:t>
      </w:r>
    </w:p>
    <w:p>
      <w:pPr>
        <w:spacing w:line="240" w:lineRule="auto" w:before="0" w:after="0"/>
        <w:jc w:val="right"/>
      </w:pPr>
      <w:r>
        <w:t>SELARL ARPENT-ALP BORREL Denis Géomètre-Expert</w:t>
      </w:r>
    </w:p>
    <w:p>
      <w:pPr>
        <w:spacing w:line="240" w:lineRule="auto" w:before="0" w:after="0"/>
        <w:jc w:val="right"/>
      </w:pPr>
      <w:r>
        <w:t>767 avenue de Savoie Immeuble les Marronniers</w:t>
      </w:r>
    </w:p>
    <w:p>
      <w:pPr>
        <w:spacing w:line="240" w:lineRule="auto" w:before="0" w:after="0"/>
        <w:jc w:val="right"/>
      </w:pPr>
      <w:r>
        <w:t>74250 VIUZ EN SALLAZ</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très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implanté à Boege et à Viuz en Sallaz, témoigne d'une présence structurée au cœur du territoire. Cette organisation multi-sites suggère une capacité à intervenir sur une grande diversité de contextes géographiques et de problématiques foncières, qu'elles soient rurales ou urbaines. Votre ancrage local et votre structure professionnelle garantissent une approche rigoureuse et adaptée aux enjeux spécifiques de vos clients, tout en assurant une proximité essentielle pour la gestion de vos dossiers.</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