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Aurelie Brunaud</w:t>
      </w:r>
    </w:p>
    <w:p>
      <w:pPr>
        <w:spacing w:line="240" w:lineRule="auto" w:before="0" w:after="0"/>
        <w:jc w:val="right"/>
      </w:pPr>
      <w:r>
        <w:t>SELARL GEODE GEOMETRES-EXPERTS</w:t>
      </w:r>
    </w:p>
    <w:p>
      <w:pPr>
        <w:spacing w:line="240" w:lineRule="auto" w:before="0" w:after="0"/>
        <w:jc w:val="right"/>
      </w:pPr>
      <w:r>
        <w:t>95 Allée Villae</w:t>
      </w:r>
    </w:p>
    <w:p>
      <w:pPr>
        <w:spacing w:line="240" w:lineRule="auto" w:before="0" w:after="0"/>
        <w:jc w:val="right"/>
      </w:pPr>
      <w:r>
        <w:t>74370 VILLAZ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DPLG de géomètre-expert</w:t>
      </w:r>
    </w:p>
    <w:p>
      <w:pPr>
        <w:spacing w:before="0" w:after="0" w:line="276" w:lineRule="auto"/>
      </w:pPr>
    </w:p>
    <w:p>
      <w:pPr>
        <w:spacing w:line="276" w:lineRule="auto" w:before="0" w:after="160"/>
        <w:jc w:val="both"/>
      </w:pPr>
      <w:r>
        <w:t>Madame Brunaud,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reconnue depuis 1988, alliant une maîtrise rigoureuse des métiers classiques — tels que le bornage, la division foncière et la copropriété — à un positionnement technologique résolument innovant. Votre présence sur plusieurs agences en Savoie et Haute-Savoie témoigne d'une capacité à gérer des projets diversifiés, allant de la sécurisation de patrimoines complexes en zone urbaine aux aménagements spécifiques en milieu montagnard. L'intégration d'outils de pointe tels que le scanner laser 3D, le drone et la modélisation BIM illustre votre volonté de répondre aux exigences de précision et de haute qualité de données.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Brunaud,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