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Pinot</w:t>
      </w:r>
    </w:p>
    <w:p>
      <w:pPr>
        <w:spacing w:line="240" w:lineRule="auto" w:before="0" w:after="0"/>
        <w:jc w:val="right"/>
      </w:pPr>
      <w:r>
        <w:t>Cabinet Nicolas Pinot</w:t>
      </w:r>
    </w:p>
    <w:p>
      <w:pPr>
        <w:spacing w:line="240" w:lineRule="auto" w:before="0" w:after="0"/>
        <w:jc w:val="right"/>
      </w:pPr>
      <w:r>
        <w:t>28 rue Ferdinand Mercusot</w:t>
      </w:r>
    </w:p>
    <w:p>
      <w:pPr>
        <w:spacing w:line="240" w:lineRule="auto" w:before="0" w:after="0"/>
        <w:jc w:val="right"/>
      </w:pPr>
      <w:r>
        <w:t>21540 SOMBERNON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Pinot,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Nicolas Pinot se distingue par une présence ancrée sur son territoire depuis 2012, témoignant d'une maîtrise solide du cœur de métier. Cette expérience permet d'assurer un accompagnement de proximité pour les clients, tout en garantissant une parfaite connaissance des spécificités foncières locales. La pérennité de votre structure suggère une expertise fiable dans la gestion des dossiers complexes, où la précision technique et la connaissance du terrain sont primordiales.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Pinot,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