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Matthieu Tissandier</w:t>
      </w:r>
    </w:p>
    <w:p>
      <w:pPr>
        <w:spacing w:line="240" w:lineRule="auto" w:before="0" w:after="0"/>
        <w:jc w:val="right"/>
      </w:pPr>
      <w:r>
        <w:t>Cabinet TISSANDIER Matthieu</w:t>
      </w:r>
    </w:p>
    <w:p>
      <w:pPr>
        <w:spacing w:line="240" w:lineRule="auto" w:before="0" w:after="0"/>
        <w:jc w:val="right"/>
      </w:pPr>
      <w:r>
        <w:t>11 Place Charles de Gaulle</w:t>
      </w:r>
    </w:p>
    <w:p>
      <w:pPr>
        <w:spacing w:line="240" w:lineRule="auto" w:before="0" w:after="0"/>
        <w:jc w:val="right"/>
      </w:pPr>
      <w:r>
        <w:t>21210 SAULIEU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Tissandier,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TISSANDIER Matthieu se distingue par son implantation multi-sites à travers la Côte-d'Or. Cette présence sur plusieurs communes, telles que Venarey-les-Laumes, Montbard, Arnay-le-Duc, Semur-en-Auxois et Saulieu, témoigne d'une capacité à intervenir sur une diversité de territoires. Cette organisation géographique suggère une maîtrise de problématiques variées, allant des zones rurales aux environnements plus structurés, offrant ainsi une perspective complète sur les enjeux fonciers et les spécificités locales propres à chaque bassin d'activité.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Tissandier,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