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Helene Odette Marie Mornand</w:t>
      </w:r>
    </w:p>
    <w:p>
      <w:pPr>
        <w:spacing w:line="240" w:lineRule="auto" w:before="0" w:after="0"/>
        <w:jc w:val="right"/>
      </w:pPr>
      <w:r>
        <w:t>SELARL QUARRE GEOMETRES-EXPERTS</w:t>
      </w:r>
    </w:p>
    <w:p>
      <w:pPr>
        <w:spacing w:line="240" w:lineRule="auto" w:before="0" w:after="0"/>
        <w:jc w:val="right"/>
      </w:pPr>
      <w:r>
        <w:t>4 avenue de la Découverte</w:t>
      </w:r>
    </w:p>
    <w:p>
      <w:pPr>
        <w:spacing w:line="240" w:lineRule="auto" w:before="0" w:after="0"/>
        <w:jc w:val="right"/>
      </w:pPr>
      <w:r>
        <w:t>21000 DIJON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pour m'investir au sein d'une structure solide.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son ancrage territorial et sa présence multi-sites sur le territoire dijonnais, notamment à Dijon, Auxonne et Is-sur-Tille. Cette implantation témoigne d'une capacité à intervenir sur une grande diversité de contextes, allant des zones urbaines denses aux espaces ruraux. Cette polyvalence géographique implique une maîtrise de problématiques foncières variées, offrant un cadre d'exercice riche pour la gestion de projets diversifiés.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