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COQUARD</w:t>
      </w:r>
    </w:p>
    <w:p>
      <w:pPr>
        <w:spacing w:line="240" w:lineRule="auto" w:before="0" w:after="0"/>
        <w:jc w:val="right"/>
      </w:pPr>
      <w:r>
        <w:t>4 rue des Roches BP 94064</w:t>
      </w:r>
    </w:p>
    <w:p>
      <w:pPr>
        <w:spacing w:line="240" w:lineRule="auto" w:before="0" w:after="0"/>
        <w:jc w:val="right"/>
      </w:pPr>
      <w:r>
        <w:t>25114 BAUME LES DAMES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COQUARD se distingue par une polyvalence affirmée, intervenant sur des missions variées allant de la viabilisation de lotissements pour l'habitation et les activités à la réalisation de diagnostics d'état des lieux à toute échelle. Votre présence sur plusieurs sites, tels que Lure, Valdahon et Baume-les-Dames, témoigne d'un ancrage territorial solide. La participation à des projets structurants comme BLUE PARKING, incluant le BIM et le scan 3D, souligne une volonté d'innovation face aux enjeux actuels de l'aménagement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pouvant appuyer vos missions de diagnostic et de sécurisation foncière.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