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Yannick Devillairs</w:t>
      </w:r>
    </w:p>
    <w:p>
      <w:pPr>
        <w:spacing w:line="240" w:lineRule="auto" w:before="0" w:after="0"/>
        <w:jc w:val="right"/>
      </w:pPr>
      <w:r>
        <w:t>SARL Cabinet DEVILLAIRS</w:t>
      </w:r>
    </w:p>
    <w:p>
      <w:pPr>
        <w:spacing w:line="240" w:lineRule="auto" w:before="0" w:after="0"/>
        <w:jc w:val="right"/>
      </w:pPr>
      <w:r>
        <w:t>1 rue du Champ de Foire</w:t>
      </w:r>
    </w:p>
    <w:p>
      <w:pPr>
        <w:spacing w:line="240" w:lineRule="auto" w:before="0" w:after="0"/>
        <w:jc w:val="right"/>
      </w:pPr>
      <w:r>
        <w:t>25200 MONTBELIARD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Devillairs,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Devillairs se distingue par une structure solide et un ancrage territorial constant depuis 2007. Avec une équipe de taille humaine, votre cabinet offre un environnement propice à une approche rigoureuse du cœur du métier de géomètre-expert. Cette dimension de cabinet établi garantit une maîtrise approfondie des problématiques foncières locales et une proximité constante avec les acteurs du territoire, des valeurs essentielles pour la qualité du conseil apporté aux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Devillairs,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