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Henri Georges Meunier</w:t>
      </w:r>
    </w:p>
    <w:p>
      <w:pPr>
        <w:spacing w:line="240" w:lineRule="auto" w:before="0" w:after="0"/>
        <w:jc w:val="right"/>
      </w:pPr>
      <w:r>
        <w:t>SARL Cabinet Alexis MEUNIER</w:t>
      </w:r>
    </w:p>
    <w:p>
      <w:pPr>
        <w:spacing w:line="240" w:lineRule="auto" w:before="0" w:after="0"/>
        <w:jc w:val="right"/>
      </w:pPr>
      <w:r>
        <w:t>1 Place du 8 Mai 1945 Bâtiment Le Major</w:t>
      </w:r>
    </w:p>
    <w:p>
      <w:pPr>
        <w:spacing w:line="240" w:lineRule="auto" w:before="0" w:after="0"/>
        <w:jc w:val="right"/>
      </w:pPr>
      <w:r>
        <w:t>70300 LUXEUIL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Meunier,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complexes, qu’il s’agisse de bornage, de division ou d’aménagement durable.</w:t>
      </w:r>
    </w:p>
    <w:p>
      <w:pPr>
        <w:spacing w:line="276" w:lineRule="auto" w:before="0" w:after="160"/>
        <w:jc w:val="both"/>
      </w:pPr>
      <w:r>
        <w:t>Votre cabinet, fondé en 2023, se distingue par une dynamique de croissance qui témoigne d'une volonté d'ancrage solide sur le territoire de Luxeuil-les-Bains. Cette structure récente suggère une agilité opérationnelle et une capacité à répondre avec réactivité aux besoins variés de la commande publique et privée. Cette phase de développement offre une opportunité de structuration de projets d'aménagement et de gestion foncière pour une clientèle locale exigeante.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Meunier,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