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Géomètres-Experts du Cabinet COQUARD</w:t>
      </w:r>
    </w:p>
    <w:p>
      <w:pPr>
        <w:spacing w:line="240" w:lineRule="auto" w:before="0" w:after="0"/>
        <w:jc w:val="right"/>
      </w:pPr>
      <w:r>
        <w:t>19 rue Henri Poincaré</w:t>
      </w:r>
    </w:p>
    <w:p>
      <w:pPr>
        <w:spacing w:line="240" w:lineRule="auto" w:before="0" w:after="0"/>
        <w:jc w:val="right"/>
      </w:pPr>
      <w:r>
        <w:t>70000 VESOUL</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pour m'investir pleinement au sein d'une structure dynamique.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et réalités matérielles aux règles d’urbanisme pour sécuriser des projets, qu’il s’agisse de bornage, de division ou d’aménagement durable.</w:t>
      </w:r>
    </w:p>
    <w:p>
      <w:pPr>
        <w:spacing w:line="276" w:lineRule="auto" w:before="0" w:after="160"/>
        <w:jc w:val="both"/>
      </w:pPr>
      <w:r>
        <w:t>Le Cabinet Coquard se distingue par sa polyvalence et sa capacité à intervenir sur des projets d'envergure, allant de la viabilisation de lotissements résidentiels à l'aménagement de zones d'activités complexes. Votre implication dans des projets structurants, tels que le projet BLUE PARKING, témoigne d'une expertise technique solide et d'une volonté de répondre aux enjeux actuels de mobilité. Cette double compétence, alliant proximité locale et gestion de projets à toutes les échelles, reflète une structure en pleine expansion, soucieuse de la précision technique et de la conformité juridique de ses interventions.</w:t>
      </w:r>
    </w:p>
    <w:p>
      <w:pPr>
        <w:spacing w:line="276" w:lineRule="auto" w:before="0" w:after="160"/>
        <w:jc w:val="both"/>
      </w:pPr>
      <w:r>
        <w:t>En m'adressant à votre cabinet, je recherche une structure au sein de laquelle je pourrai m'engager durablement pour préparer mon diplôme. 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