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Boffy</w:t>
      </w:r>
    </w:p>
    <w:p>
      <w:pPr>
        <w:spacing w:line="240" w:lineRule="auto" w:before="0" w:after="0"/>
        <w:jc w:val="right"/>
      </w:pPr>
      <w:r>
        <w:t>SARL Pierre BOFFY</w:t>
      </w:r>
    </w:p>
    <w:p>
      <w:pPr>
        <w:spacing w:line="240" w:lineRule="auto" w:before="0" w:after="0"/>
        <w:jc w:val="right"/>
      </w:pPr>
      <w:r>
        <w:t>4 Place René Hologne</w:t>
      </w:r>
    </w:p>
    <w:p>
      <w:pPr>
        <w:spacing w:line="240" w:lineRule="auto" w:before="0" w:after="0"/>
        <w:jc w:val="right"/>
      </w:pPr>
      <w:r>
        <w:t>70000 VESOUL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Boffy,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stratégique à Vesoul et Besançon, couvrant une diversité de territoires qui témoigne d'une solide expertise régionale. La taille de votre structure permet une approche de proximité, essentielle pour accompagner des projets variés. Cette présence multisite, alliée à une expérience établie depuis 2010, garantit une maîtrise du cœur de métier et une connaissance fine des enjeux fonciers locaux et des spécificités territoriales propres à vos zones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Boffy,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