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2AGE-CONSEILS</w:t>
      </w:r>
    </w:p>
    <w:p>
      <w:pPr>
        <w:spacing w:line="240" w:lineRule="auto" w:before="0" w:after="0"/>
        <w:jc w:val="right"/>
      </w:pPr>
      <w:r>
        <w:t>2 rue Marie Curie</w:t>
      </w:r>
    </w:p>
    <w:p>
      <w:pPr>
        <w:spacing w:line="240" w:lineRule="auto" w:before="0" w:after="0"/>
        <w:jc w:val="right"/>
      </w:pPr>
      <w:r>
        <w:t>71100 LUX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cette double compétence entre la géométrie-expertise et l'atelier d'aménagement, permettant une maîtrise complète de la chaîne de projet, de l'étude initiale à la réalisation concrète. L'esprit « Atelier » que vous véhiculez souligne un savoir-faire artisanal et une volonté de conception fine du territoire, où la rigueur mathématique rencontre une vision opérationnelle. Votre polyvalence sur des domaines variés, tels que le foncier, la construction ou l'environnement, témoigne d'une approche transversale et structurée, permettant un accompagnement clair et pédagogique aux besoins spécifiques de chaque client.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