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Tom Patrick Pichon</w:t>
      </w:r>
    </w:p>
    <w:p>
      <w:pPr>
        <w:spacing w:line="240" w:lineRule="auto" w:before="0" w:after="0"/>
        <w:jc w:val="right"/>
      </w:pPr>
      <w:r>
        <w:t>SELARL SIGEM</w:t>
      </w:r>
    </w:p>
    <w:p>
      <w:pPr>
        <w:spacing w:line="240" w:lineRule="auto" w:before="0" w:after="0"/>
        <w:jc w:val="right"/>
      </w:pPr>
      <w:r>
        <w:t>22 rue de la République</w:t>
      </w:r>
    </w:p>
    <w:p>
      <w:pPr>
        <w:spacing w:line="240" w:lineRule="auto" w:before="0" w:after="0"/>
        <w:jc w:val="right"/>
      </w:pPr>
      <w:r>
        <w:t>71000 MACON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Pichon,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w:t>
      </w:r>
    </w:p>
    <w:p>
      <w:pPr>
        <w:spacing w:line="276" w:lineRule="auto" w:before="0" w:after="160"/>
        <w:jc w:val="both"/>
      </w:pPr>
      <w:r>
        <w:t>Le cabinet SIGEM, par sa structure à taille humaine et son implantation à MACON depuis 1997, témoigne d'une maîtrise solide du cœur de métier. Cette pérennité suggère une expertise ancrée dans la connaissance du territoire et une approche de proximité avec une clientèle exigeante. Dans un tel cadre, la qualité du conseil technique et la précision des opérations foncières constituent des priorités qui résonnent avec ma propre démarche professionnelle. Votre capacité à gérer des dossiers complexes tout en maintenant une relation de confiance durable avec vos interlocuteurs reflète une vision de la profession que je souhaite approfondir.</w:t>
      </w:r>
    </w:p>
    <w:p>
      <w:pPr>
        <w:spacing w:line="276" w:lineRule="auto" w:before="0" w:after="160"/>
        <w:jc w:val="both"/>
      </w:pPr>
      <w:r>
        <w:t>Mon parcours universitaire de recherche m'a doté d'une forte culture de la donnée spatiale (topographie, modélisation) et d'une solide capacité d'analyse face aux problématiques complexes. Mon objectif est de mettre cette force de production technique au service de vos opérations d'aménagement, de bornage ou de division, tout en m'appuyant sur ma méthode de chercheur pour assimiler rapidement le cadre réglementaire de la profession. Je conçois ce stage comme un véritable échange de compétences entre la rigueur de la donnée et l'expertise du droit foncier, en apportant une capacité de synthèse éprouvée.</w:t>
      </w:r>
    </w:p>
    <w:p>
      <w:pPr>
        <w:spacing w:line="276" w:lineRule="auto" w:before="0" w:after="160"/>
        <w:jc w:val="both"/>
      </w:pPr>
      <w:r>
        <w:t>Lors de ma récente immersion en cabinet, j’ai principalement découvert le travail de terrain du géomètre.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Pichon,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