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Deleligne</w:t>
      </w:r>
    </w:p>
    <w:p>
      <w:pPr>
        <w:spacing w:line="240" w:lineRule="auto" w:before="0" w:after="0"/>
        <w:jc w:val="right"/>
      </w:pPr>
      <w:r>
        <w:t>SARL DELELIGNE et Associés</w:t>
      </w:r>
    </w:p>
    <w:p>
      <w:pPr>
        <w:spacing w:line="240" w:lineRule="auto" w:before="0" w:after="0"/>
        <w:jc w:val="right"/>
      </w:pPr>
      <w:r>
        <w:t>6 bis rue de l'Hotel de Ville</w:t>
      </w:r>
    </w:p>
    <w:p>
      <w:pPr>
        <w:spacing w:line="240" w:lineRule="auto" w:before="0" w:after="0"/>
        <w:jc w:val="right"/>
      </w:pPr>
      <w:r>
        <w:t>89600 ST FLORENTIN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Deleligne,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Votre cabinet se distingue par son implantation sur deux sites, à Villeneuve l'Archevêque et à Saint Florentin, ce qui témoigne d'une couverture de territoires variés. Cette organisation, alliée à une structure à taille humaine, permet de conjuguer une proximité constante avec les clients et une maîtrise rigoureuse du cœur de métier du géomètre-expert sur des contextes géographiques diversifiés.</w:t>
      </w:r>
    </w:p>
    <w:p>
      <w:pPr>
        <w:spacing w:line="276" w:lineRule="auto" w:before="0" w:after="160"/>
        <w:jc w:val="both"/>
      </w:pPr>
      <w:r>
        <w:t>Mon parcours universitaire m'a doté d'une forte culture de la donnée spatiale, notamment en matière de modélisation, de relevés et de traitement de données via les SIG ou le scanner 3D. Cette sensibilité technologique, alliée à une solide capacité d'analyse issue de mes travaux de recherche, me permet d'aborder les problématiques complexes avec une méthodologie rigoureuse. Mon objectif est de mettre cette force de production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de l’acquisition des données jusqu’à la restitution graphique. Ma familiarité avec les outils numériques m’a permis d’assimiler rapidement les méthodes de production actuelles.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