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Régis Patrick Andre Quenaon</w:t>
      </w:r>
    </w:p>
    <w:p>
      <w:pPr>
        <w:spacing w:line="240" w:lineRule="auto" w:before="0" w:after="0"/>
        <w:jc w:val="right"/>
      </w:pPr>
      <w:r>
        <w:t>SASU Cabinet QUENAON Régis</w:t>
      </w:r>
    </w:p>
    <w:p>
      <w:pPr>
        <w:spacing w:line="240" w:lineRule="auto" w:before="0" w:after="0"/>
        <w:jc w:val="right"/>
      </w:pPr>
      <w:r>
        <w:t>195 rue Jean Jaurès</w:t>
      </w:r>
    </w:p>
    <w:p>
      <w:pPr>
        <w:spacing w:line="240" w:lineRule="auto" w:before="0" w:after="0"/>
        <w:jc w:val="right"/>
      </w:pPr>
      <w:r>
        <w:t>29200 BREST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QUENAON Régis s'affirme comme une structure établie depuis 2012, alliant une dimension humaine et une expertise solide. Sa taille intermédiaire témoigne d'une organisation où la maîtrise du cœur de métier et la proximité avec la clientèle sont des piliers essentiels. Cette configuration permet d'assurer une qualité de service rigoureuse tout en offrant un environnement de travail stable, propice à une approche approfondie des problématiques foncières et techniques.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en mettant à profit ma sensibilité aux outils SIG, au scanner 3D et au traitement de données par programmation.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Quenaon,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