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SELARL Cabinet Ollivier</w:t>
      </w:r>
    </w:p>
    <w:p>
      <w:pPr>
        <w:spacing w:line="240" w:lineRule="auto" w:before="0" w:after="0"/>
        <w:jc w:val="right"/>
      </w:pPr>
      <w:r>
        <w:t>53 rue de Saint Esprit</w:t>
      </w:r>
    </w:p>
    <w:p>
      <w:pPr>
        <w:spacing w:line="240" w:lineRule="auto" w:before="0" w:after="0"/>
        <w:jc w:val="right"/>
      </w:pPr>
      <w:r>
        <w:t>29260 LESNEVEN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L'implantation du SELARL Cabinet Ollivier sur trois sites géographiques distincts — Landivisiau, Brest et Lesneven — témoigne d'une présence ancrée dans la diversité des territoires finistériens. Cette structure permet de couvrir un spectre d'interventions varié, allant des zones urbaines aux espaces ruraux, tout en assurant une proximité de terrain indispensable à la qualité de l'expertise foncière. Cette polyvalence géographique et technique constitue un environnement de travail particulièrement pertinent pour appréhender la complexité des problématiques locales, qu'elles soient liées à l'aménagement durable, à la division parcellaire ou à la sécurisation du patrimoine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