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Pierre Steven Menager</w:t>
      </w:r>
    </w:p>
    <w:p>
      <w:pPr>
        <w:spacing w:line="240" w:lineRule="auto" w:before="0" w:after="0"/>
        <w:jc w:val="right"/>
      </w:pPr>
      <w:r>
        <w:t>6, rue des Sittelles</w:t>
      </w:r>
    </w:p>
    <w:p>
      <w:pPr>
        <w:spacing w:line="240" w:lineRule="auto" w:before="0" w:after="0"/>
        <w:jc w:val="right"/>
      </w:pPr>
      <w:r>
        <w:t>35500 MONTREUIL SOUS PEROUSE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Menager,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de votre cabinet en 2025 témoigne d'une volonté d'implantation structurée du métier. Intégrer une structure nouvelle représente pour moi l'opportunité de contribuer activement à la construction de votre identité professionnelle et au développement de vos activités. Je suis sensible à cette volonté de bâtir une expertise solide sur un territoire donné, où la réactivité et la fiabilité de chaque intervention sont essentielles pour asseoir la notoriété du cabinet.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Menager,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