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l’EURL COGEO</w:t>
      </w:r>
    </w:p>
    <w:p>
      <w:pPr>
        <w:spacing w:line="240" w:lineRule="auto" w:before="0" w:after="0"/>
        <w:jc w:val="right"/>
      </w:pPr>
      <w:r>
        <w:t>147 rue Nationale BP 50140</w:t>
      </w:r>
    </w:p>
    <w:p>
      <w:pPr>
        <w:spacing w:line="240" w:lineRule="auto" w:before="0" w:after="0"/>
        <w:jc w:val="right"/>
      </w:pPr>
      <w:r>
        <w:t>56304 PONTIVY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foncière ou d’aménagement durable.</w:t>
      </w:r>
    </w:p>
    <w:p>
      <w:pPr>
        <w:spacing w:line="276" w:lineRule="auto" w:before="0" w:after="160"/>
        <w:jc w:val="both"/>
      </w:pPr>
      <w:r>
        <w:t>Votre structure, implantée à Pontivy et à Theix Noyalo, témoigne d'une présence ancrée et polyvalente sur le territoire. Cette double implantation suggère une diversité de contextes d'intervention, couvrant tant les enjeux du milieu rural que ceux des zones plus structurées. Je suis particulièrement attentif à la qualité de service que vous proposez à travers la maîtrise du cœur de métier du géomètre-expert, garantissant une gestion rigoureuse, une expertise technique de proximité et une parfaite connaissance des spécificités foncières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