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SAS GEO1M</w:t>
      </w:r>
    </w:p>
    <w:p>
      <w:pPr>
        <w:spacing w:line="240" w:lineRule="auto" w:before="0" w:after="0"/>
        <w:jc w:val="right"/>
      </w:pPr>
      <w:r>
        <w:t>À l’attention de Monsieur Benoit Francois Pierre Martin-Gousset</w:t>
      </w:r>
    </w:p>
    <w:p>
      <w:pPr>
        <w:spacing w:line="240" w:lineRule="auto" w:before="0" w:after="0"/>
        <w:jc w:val="right"/>
      </w:pPr>
      <w:r>
        <w:t>6, place de l'Epine</w:t>
      </w:r>
    </w:p>
    <w:p>
      <w:pPr>
        <w:spacing w:line="240" w:lineRule="auto" w:before="0" w:after="0"/>
        <w:jc w:val="right"/>
      </w:pPr>
      <w:r>
        <w:t>56230 QUESTEMBERT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Benoit Francois Pierre Martin-Gousset,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établie comme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La SAS GEO1M se distingue par une présence solide et pérenne sur son territoire depuis 1989. Cette longévité, alliée à une activité de grande envergure, témoigne d'une maîtrise approfondie du cœur de métier et d'une capacité à mener des dossiers complexes de manière structurée. Votre cabinet incarne une expertise établie où la fiabilité des prestations et la connaissance du patrimoine foncier local constituent des piliers fondamentaux pour la sécurisation des projets de vos clients.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