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AG2M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tel que le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fonciers, qu’il s’agisse de bornage, de division ou d’aménagement durable.</w:t>
      </w:r>
    </w:p>
    <w:p>
      <w:pPr>
        <w:spacing w:line="276" w:lineRule="auto" w:before="0" w:after="160"/>
        <w:jc w:val="both"/>
      </w:pPr>
      <w:r>
        <w:t>Votre cabinet se distingue par une implantation stratégique sur les territoires de Vannes et de Ploërmur. Cette présence géographique permet d'appréhender une grande diversité de contextes, allant des enjeux d'aménagement urbains aux spécificités des zones rurales et littorales. Cette polyvalence territoriale témoigne d'une capacité à répondre à des problématiques foncières variées, exigeant une lecture fine des particularités locales et une connaissance approfondie des différents types de terrains, ce qui constitue un environnement de travail stimulant pour un futur collaborateur.</w:t>
      </w:r>
    </w:p>
    <w:p>
      <w:pPr>
        <w:spacing w:line="276" w:lineRule="auto" w:before="0" w:after="160"/>
        <w:jc w:val="both"/>
      </w:pPr>
      <w:r>
        <w:t>Mon parcours académique de chercheur m'a doté d'une forte culture de la donnée spatiale ainsi que d'une solide capacité d'analyse face aux problématiques complexes.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