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Philippe-Emmanuel Jacques Remy Beaujean</w:t>
      </w:r>
    </w:p>
    <w:p>
      <w:pPr>
        <w:spacing w:line="240" w:lineRule="auto" w:before="0" w:after="0"/>
        <w:jc w:val="right"/>
      </w:pPr>
      <w:r>
        <w:t>ABSCISSE Géo Conseil SARL</w:t>
      </w:r>
    </w:p>
    <w:p>
      <w:pPr>
        <w:spacing w:line="240" w:lineRule="auto" w:before="0" w:after="0"/>
        <w:jc w:val="right"/>
      </w:pPr>
      <w:r>
        <w:t>ZI des Groges Hotel d'entreprises Route de Concremiers</w:t>
      </w:r>
    </w:p>
    <w:p>
      <w:pPr>
        <w:spacing w:line="240" w:lineRule="auto" w:before="0" w:after="0"/>
        <w:jc w:val="right"/>
      </w:pPr>
      <w:r>
        <w:t>36300 LE BLANC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Beaujean,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 et polyvalent.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transversale qui conjugue l'expertise foncière, les réseaux divers et l'aménagement paysager. Cette polyvalence permet de proposer un accompagnement global, offrant aux clients une véritable expertise de conseil pour la sécurisation et la mise en valeur de leurs projets. Votre ancrage territorial sur les pôles de Poitiers et Montmorillon témoigne d'une connaissance fine des enjeux locaux, permettant d'intervenir avec pertinence sur des problématiques variées, qu'elles soient urbaines, rurales ou liées aux infrastructures.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Beaujean,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