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Chantal Reeb</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BIA.Géo se distingue par une expertise solide ancrée dans un héritage historique remarquable, dont les archives remontent à 1946. Cette transmission témoigne d'une maîtrise du patrimoine foncier et d'une pérennité du savoir-faire. Votre structure offre une polyvalence notable, intervenant sur des projets d'envergure allant de la gestion foncière pour les énergies renouvelables aux opérations complexes de VRD. Votre présence sur trois sites et votre capacité à accompagner les collectivités et opérateurs privés, de la phase de conception jusqu'au suivi de chantier, illustrent votre engagement pour le développement du territoire.</w:t>
      </w:r>
    </w:p>
    <w:p>
      <w:pPr>
        <w:spacing w:line="276" w:lineRule="auto" w:before="0" w:after="160"/>
        <w:jc w:val="both"/>
      </w:pPr>
      <w:r>
        <w:t>Mon parcours de recherche m'a doté d'une solide capacité d'analyse et d'une méthode rigoureuse pour traiter des problématiques complexes et des archives. Je possède une forte culture de la donnée spatiale (SIG, relevés, scanner 3D, programmation Python), que je considère comme un levier pour appuyer le raisonnement technique. Mon objectif est de mettre cette capacité de synthèse au service de vos opérations,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