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GEOPLUS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transversale remarquable, alliant la maîtrise technique des infrastructures et des VRD à une dimension juridique complexe, notamment dans le domaine de la copropriété et de la délimitation foncière. Votre ancrage historique, marqué par une expérience ancienne des relevés architecturaux et du patrimoine, témoigne d'une transmission de savoir-faire précieuse, que vous avez su moderniser par l'intégration de nouvelles technologies d'acquisition de données. Cette capacité à intervenir sur des projets d'envergure publique ou privée, tout en respectant la singularité des lieux, fait de votre structure une référence de professionnalisme.</w:t>
      </w:r>
    </w:p>
    <w:p>
      <w:pPr>
        <w:spacing w:line="276" w:lineRule="auto" w:before="0" w:after="160"/>
        <w:jc w:val="both"/>
      </w:pPr>
      <w:r>
        <w:t>Mon parcours académique m'a doté d'une solide culture de la donnée spatiale et d'une rigueur méthodologique issue de la recherche. Je possède une capacité d'analyse éprouvée face à des problématiques complexes, acquise lors de mes travaux sur l'urbanisme et les archives. Mon objectif est de mettre cette force de production technique au service de vos opérations d'aménagement, en m'appuyant sur ma méthode de chercheur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les outils de modélisation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