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Mickael Rousseau</w:t>
      </w:r>
    </w:p>
    <w:p>
      <w:pPr>
        <w:spacing w:line="240" w:lineRule="auto" w:before="0" w:after="0"/>
        <w:jc w:val="right"/>
      </w:pPr>
      <w:r>
        <w:t>SELARL ROUSSEAU et SCHORGEN</w:t>
      </w:r>
    </w:p>
    <w:p>
      <w:pPr>
        <w:spacing w:line="240" w:lineRule="auto" w:before="0" w:after="0"/>
        <w:jc w:val="right"/>
      </w:pPr>
      <w:r>
        <w:t>22 Allée de Chatenay</w:t>
      </w:r>
    </w:p>
    <w:p>
      <w:pPr>
        <w:spacing w:line="240" w:lineRule="auto" w:before="0" w:after="0"/>
        <w:jc w:val="right"/>
      </w:pPr>
      <w:r>
        <w:t>37210 ROCHECORBON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Rousseau,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 ancrage territorial solide entre Rochecorbon et Montbazon, permettant une approche diversifiée des problématiques foncières de la région. La large palette de vos prestations, allant du bornage et de la copropriété aux travaux de topographie, de scan 3D et de VRD, témoigne d'une expertise complète et transversale. Cette capacité à intervenir sur des projets variés, mêlant technicité de précision et enjeux d'aménagement, constitue un environnement particulièrement structuré et stimulant pour un futur collaborateur.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contribuer efficacement à la qualité de vos prestations.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Rousseau,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