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Boucheron</w:t>
      </w:r>
    </w:p>
    <w:p>
      <w:pPr>
        <w:spacing w:line="240" w:lineRule="auto" w:before="0" w:after="0"/>
        <w:jc w:val="right"/>
      </w:pPr>
      <w:r>
        <w:t>SAS GETAM (Géomexpert)</w:t>
      </w:r>
    </w:p>
    <w:p>
      <w:pPr>
        <w:spacing w:line="240" w:lineRule="auto" w:before="0" w:after="0"/>
        <w:jc w:val="right"/>
      </w:pPr>
      <w:r>
        <w:t>rue des Arches ZAC des Guignières</w:t>
      </w:r>
    </w:p>
    <w:p>
      <w:pPr>
        <w:spacing w:line="240" w:lineRule="auto" w:before="0" w:after="0"/>
        <w:jc w:val="right"/>
      </w:pPr>
      <w:r>
        <w:t>41000 BLOIS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Boucheron,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Géomexpert se distingue par une expertise plurielle et une présence régionale affirmée couvrant cinq départements. Votre capacité à mener des chantiers d'exception, tels que ceux liés aux monuments historiques de Chambord ou de Blois, témoigne d'une maîtrise remarquable des problématiques complexes. Par ailleurs, votre engagement constant dans l'innovation technologique, notamment via les drones, la photogrammétrie et le scan 3D, ainsi que votre polyvalence sur des prestations de haute technicité comme la bathymétrie, font de votre structure une référence de fiabilité et de modernité.</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rigueur technique et expertise foncière.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profil et son intégration au sein de votre cabinet.</w:t>
      </w:r>
    </w:p>
    <w:p>
      <w:pPr>
        <w:spacing w:line="276" w:lineRule="auto" w:before="0" w:after="160"/>
        <w:jc w:val="both"/>
      </w:pPr>
      <w:r>
        <w:t>Je vous prie d’agréer, Monsieur Boucheron,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