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Asselin</w:t>
      </w:r>
    </w:p>
    <w:p>
      <w:pPr>
        <w:spacing w:line="240" w:lineRule="auto" w:before="0" w:after="0"/>
        <w:jc w:val="right"/>
      </w:pPr>
      <w:r>
        <w:t>ABSOLU Selas</w:t>
      </w:r>
    </w:p>
    <w:p>
      <w:pPr>
        <w:spacing w:line="240" w:lineRule="auto" w:before="0" w:after="0"/>
        <w:jc w:val="right"/>
      </w:pPr>
      <w:r>
        <w:t>2 rue de Croquechâtaigne</w:t>
      </w:r>
    </w:p>
    <w:p>
      <w:pPr>
        <w:spacing w:line="240" w:lineRule="auto" w:before="0" w:after="0"/>
        <w:jc w:val="right"/>
      </w:pPr>
      <w:r>
        <w:t>45380 LA CHAPELLE ST MESMIN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Asselin,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ABSOLU se distingue par une double expertise remarquable. D'une part, votre implication dans la valorisation du patrimoine bâti, illustrée par les relevés 3D complexes de la Cathédrale Sainte-Croix d'Orléans, témoigne d'une maîtrise technique de haut niveau. D'autre part, votre rôle d'acteur clé dans la restructuration urbaine de la Métropole d’Orléans, notamment via la ZAC Madeleine, démontre une capacité à appréhender des projets d'envergure. Cette alliance entre technicité de pointe et dynamisme en matière d'aménagement urbain définit une structure à la fois ambitieuse et engagée.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Asselin,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