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Hugo Petroni</w:t>
      </w:r>
    </w:p>
    <w:p>
      <w:pPr>
        <w:spacing w:line="240" w:lineRule="auto" w:before="0" w:after="0"/>
        <w:jc w:val="right"/>
      </w:pPr>
      <w:r>
        <w:t>SARL Cabinet Hugo PETRONI</w:t>
      </w:r>
    </w:p>
    <w:p>
      <w:pPr>
        <w:spacing w:line="240" w:lineRule="auto" w:before="0" w:after="0"/>
        <w:jc w:val="right"/>
      </w:pPr>
      <w:r>
        <w:t>Résidence Linari 1 BP 43</w:t>
      </w:r>
    </w:p>
    <w:p>
      <w:pPr>
        <w:spacing w:line="240" w:lineRule="auto" w:before="0" w:after="0"/>
        <w:jc w:val="right"/>
      </w:pPr>
      <w:r>
        <w:t>20240 GHISONACCIA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Petroni,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son ancrage territorial solide et son implantation stratégique sur plusieurs sites tels que Venzolasca, Lecci et Ghisonaccia. Cette présence multi-sites témoigne d'une grande diversité de contextes géographiques et d'une maîtrise approfondie des spécificités foncières locales. La dimension humaine et la proximité qui caractérisent une structure de votre dimension permettent une approche rigoureuse et personnalisée de chaque dossier, garantissant une qualité de service constante pour la sécurisation du patrimoine foncier régional, un enjeu majeur pour le développement durable et l'équilibre des territoires dont vous avez la charge.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incluant la manipulation de données LiDAR ou le traitement par programmation Python,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apporter une valeur ajoutée immédiate à vos projets de bornage, de division ou de restructuration foncière.</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et contextualisé. Conscient que la maîtrise opérationnelle s’acquiert par la pratique quotidienne, je suis motivé pour apporter rapidement mon concours technique sur le terrain et en bureau d'études, en m'intégrant avec sérieux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Petroni,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