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CABINET LUC GRASSINI</w:t>
      </w:r>
    </w:p>
    <w:p>
      <w:pPr>
        <w:spacing w:line="240" w:lineRule="auto" w:before="0" w:after="0"/>
        <w:jc w:val="right"/>
      </w:pPr>
      <w:r>
        <w:t>Résidence A Tramuntana Bât A</w:t>
      </w:r>
    </w:p>
    <w:p>
      <w:pPr>
        <w:spacing w:line="240" w:lineRule="auto" w:before="0" w:after="0"/>
        <w:jc w:val="right"/>
      </w:pPr>
      <w:r>
        <w:t>20600 BASTIA</w:t>
      </w:r>
    </w:p>
    <w:p>
      <w:pPr>
        <w:spacing w:line="240" w:lineRule="auto" w:before="0" w:after="0"/>
        <w:jc w:val="right"/>
      </w:pPr>
      <w:r>
        <w:t>À l’attention de Monsieur Luc Grassini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Grassini,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 volonté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garantissant une approche de proximité et une maîtrise rigoureuse du cœur de métier. Cette organisation permet de suivre avec précision l'évolution de chaque dossier, de la première visite de terrain jusqu'à la finalisation des actes. Dans un tel environnement, la qualité du conseil et la précision technique sont les piliers d'une relation de confiance durable avec les clients, une approche que je sais essentielle à l'exercice de la profession.</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les outils de géomatique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Grassini,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