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MARCELLU ACQUAVIVA</w:t>
      </w:r>
    </w:p>
    <w:p>
      <w:pPr>
        <w:spacing w:line="240" w:lineRule="auto" w:before="0" w:after="0"/>
        <w:jc w:val="right"/>
      </w:pPr>
      <w:r>
        <w:t>À l’attention de Monsieur Antone-Marcellu Acquaviva</w:t>
      </w:r>
    </w:p>
    <w:p>
      <w:pPr>
        <w:spacing w:line="240" w:lineRule="auto" w:before="0" w:after="0"/>
        <w:jc w:val="right"/>
      </w:pPr>
      <w:r>
        <w:t>19 Cours Paoli</w:t>
      </w:r>
    </w:p>
    <w:p>
      <w:pPr>
        <w:spacing w:line="240" w:lineRule="auto" w:before="0" w:after="0"/>
        <w:jc w:val="right"/>
      </w:pPr>
      <w:r>
        <w:t>20250 CORTE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Acquaviva,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SAS MARCELLU ACQUAVIVA se distingue par une structure à taille humaine, établie depuis 2014. Cette dimension permet une maîtrise approfondie du cœur du métier et garantit une proximité essentielle avec les clients et les partenaires locaux. La gestion de vos dossiers témoigne d'une expertise solide et d'une volonté de pérennité, caractéristiques d'un cabinet structuré et ancré dans son environnement.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Acquaviva,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