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Céline Hélène Chenu</w:t>
      </w:r>
    </w:p>
    <w:p>
      <w:pPr>
        <w:spacing w:line="240" w:lineRule="auto" w:before="0" w:after="0"/>
        <w:jc w:val="right"/>
      </w:pPr>
      <w:r>
        <w:t>SAS SAGEO</w:t>
      </w:r>
    </w:p>
    <w:p>
      <w:pPr>
        <w:spacing w:line="240" w:lineRule="auto" w:before="0" w:after="0"/>
        <w:jc w:val="right"/>
      </w:pPr>
      <w:r>
        <w:t>5 Parc Belvédère</w:t>
      </w:r>
    </w:p>
    <w:p>
      <w:pPr>
        <w:spacing w:line="240" w:lineRule="auto" w:before="0" w:after="0"/>
        <w:jc w:val="right"/>
      </w:pPr>
      <w:r>
        <w:t>20000 AJACCIO</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Chenu,</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SAS SAGEO se distingue par une structure à taille humaine qui semble privilégier une approche de proximité et une maîtrise rigoureuse du cœur de métier. Cette organisation favorise une immersion directe dans la diversité des problématiques foncières et une gestion agile des dossiers, caractéristiques d'un cabinet à échelle humaine. Elle permet de garantir une qualité de service personnalisée, où chaque intervention technique et juridique est traitée avec une attention particulière aux spécificités du territoire et aux enjeux complexes des clients.</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Chenu,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