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SCP MARTINI</w:t>
      </w:r>
    </w:p>
    <w:p>
      <w:pPr>
        <w:spacing w:line="240" w:lineRule="auto" w:before="0" w:after="0"/>
        <w:jc w:val="right"/>
      </w:pPr>
      <w:r>
        <w:t>Rt 10 Folelli</w:t>
      </w:r>
    </w:p>
    <w:p>
      <w:pPr>
        <w:spacing w:line="240" w:lineRule="auto" w:before="0" w:after="0"/>
        <w:jc w:val="right"/>
      </w:pPr>
      <w:r>
        <w:t>20213 PENTA DI CASINCA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SCP MARTINI s'illustre par une présence ancrée dans son territoire, privilégiant une maîtrise du cœur de métier indispensable à la sécurisation foncière locale. Votre cabinet incarne une proximité avec la clientèle et une expertise de terrain garantissant la fiabilité des interventions. Cette approche, centrée sur la qualité de la prestation et la connaissance des spécificités géographiques et réglementaires de la zone de Penta di Casinca, constitue un environnement de travail pertinent, fondé sur la rigueur et la maîtrise des fondamentaux de la profession.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permettant une compréhension globale des enjeux du territoire.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de votre méthodologie de travail.</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