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AGEX</w:t>
      </w:r>
    </w:p>
    <w:p>
      <w:pPr>
        <w:spacing w:line="240" w:lineRule="auto" w:before="0" w:after="0"/>
        <w:jc w:val="right"/>
      </w:pPr>
      <w:r>
        <w:t>Parc d'Activités de Mezzavia, 20167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à travers ses implantations à Ajaccio, Vico et Cauro, témoigne d'une présence ancrée dans la diversité des territoires corses. Cette structure multi-sites permet d'intervenir sur une grande variété de contextes, des zones urbaines aux espaces ruraux, offrant une vision globale des enjeux fonciers. Cette capacité à couvrir des environnements géographiques variés constitue un cadre d'exercice complet pour la gestion de projets complexes, exigeant une adaptation constante aux spécificités du terrain et une maîtrise des problématiques locales.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sur les archives et les normes d'urbanisme sera un atout pour sécuriser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